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78E" w:rsidRPr="00053044" w:rsidRDefault="00E15C74" w:rsidP="006F7CB2">
      <w:pPr>
        <w:spacing w:line="360" w:lineRule="auto"/>
        <w:jc w:val="both"/>
        <w:rPr>
          <w:rFonts w:ascii="Times New Roman" w:hAnsi="Times New Roman" w:cs="Times New Roman"/>
          <w:b/>
        </w:rPr>
      </w:pPr>
      <w:r w:rsidRPr="00053044">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053044">
        <w:trPr>
          <w:trHeight w:val="977"/>
        </w:trPr>
        <w:tc>
          <w:tcPr>
            <w:tcW w:w="3062" w:type="dxa"/>
          </w:tcPr>
          <w:p w:rsidR="00BA178E" w:rsidRPr="00053044" w:rsidRDefault="00E15C74" w:rsidP="006F7CB2">
            <w:pPr>
              <w:spacing w:line="360" w:lineRule="auto"/>
              <w:jc w:val="both"/>
              <w:rPr>
                <w:rFonts w:ascii="Times New Roman" w:hAnsi="Times New Roman" w:cs="Times New Roman"/>
                <w:b/>
                <w:bCs/>
              </w:rPr>
            </w:pPr>
            <w:r w:rsidRPr="00053044">
              <w:rPr>
                <w:rFonts w:ascii="Times New Roman" w:hAnsi="Times New Roman" w:cs="Times New Roman"/>
                <w:b/>
                <w:bCs/>
              </w:rPr>
              <w:t>Article Number:</w:t>
            </w:r>
          </w:p>
          <w:p w:rsidR="00BA178E" w:rsidRPr="00053044" w:rsidRDefault="00256465" w:rsidP="006F7CB2">
            <w:pPr>
              <w:spacing w:line="360" w:lineRule="auto"/>
              <w:jc w:val="both"/>
              <w:rPr>
                <w:rFonts w:ascii="Times New Roman" w:hAnsi="Times New Roman" w:cs="Times New Roman"/>
                <w:b/>
              </w:rPr>
            </w:pPr>
            <w:bookmarkStart w:id="0" w:name="_GoBack"/>
            <w:r w:rsidRPr="00256465">
              <w:rPr>
                <w:rFonts w:ascii="Times New Roman" w:hAnsi="Times New Roman" w:cs="Times New Roman"/>
                <w:b/>
              </w:rPr>
              <w:t>JPDM-2669</w:t>
            </w:r>
            <w:bookmarkEnd w:id="0"/>
          </w:p>
        </w:tc>
        <w:tc>
          <w:tcPr>
            <w:tcW w:w="3600" w:type="dxa"/>
          </w:tcPr>
          <w:p w:rsidR="00BA178E" w:rsidRPr="00053044" w:rsidRDefault="00E15C74" w:rsidP="006F7CB2">
            <w:pPr>
              <w:autoSpaceDE w:val="0"/>
              <w:autoSpaceDN w:val="0"/>
              <w:adjustRightInd w:val="0"/>
              <w:spacing w:after="0" w:line="360" w:lineRule="auto"/>
              <w:jc w:val="both"/>
              <w:rPr>
                <w:rFonts w:ascii="Times New Roman" w:hAnsi="Times New Roman" w:cs="Times New Roman"/>
                <w:b/>
                <w:bCs/>
                <w:lang w:val="en-GB"/>
              </w:rPr>
            </w:pPr>
            <w:r w:rsidRPr="00053044">
              <w:rPr>
                <w:rFonts w:ascii="Times New Roman" w:hAnsi="Times New Roman" w:cs="Times New Roman"/>
                <w:b/>
                <w:bCs/>
                <w:lang w:val="en-GB"/>
              </w:rPr>
              <w:t>Author Name</w:t>
            </w:r>
          </w:p>
          <w:p w:rsidR="00BA178E" w:rsidRPr="00053044" w:rsidRDefault="00BA178E" w:rsidP="006F7CB2">
            <w:pPr>
              <w:autoSpaceDE w:val="0"/>
              <w:autoSpaceDN w:val="0"/>
              <w:adjustRightInd w:val="0"/>
              <w:spacing w:after="0" w:line="360" w:lineRule="auto"/>
              <w:jc w:val="both"/>
              <w:rPr>
                <w:rFonts w:ascii="Times New Roman" w:hAnsi="Times New Roman" w:cs="Times New Roman"/>
                <w:b/>
              </w:rPr>
            </w:pPr>
          </w:p>
          <w:p w:rsidR="00BA178E" w:rsidRPr="00053044" w:rsidRDefault="00256465" w:rsidP="006F7CB2">
            <w:pPr>
              <w:autoSpaceDE w:val="0"/>
              <w:autoSpaceDN w:val="0"/>
              <w:adjustRightInd w:val="0"/>
              <w:spacing w:after="0" w:line="360" w:lineRule="auto"/>
              <w:jc w:val="both"/>
              <w:rPr>
                <w:rFonts w:ascii="Times New Roman" w:hAnsi="Times New Roman" w:cs="Times New Roman"/>
                <w:b/>
                <w:bCs/>
                <w:lang w:val="en-GB"/>
              </w:rPr>
            </w:pPr>
            <w:proofErr w:type="spellStart"/>
            <w:r w:rsidRPr="00256465">
              <w:rPr>
                <w:rFonts w:ascii="Times New Roman" w:hAnsi="Times New Roman" w:cs="Times New Roman"/>
                <w:b/>
              </w:rPr>
              <w:t>Mbah</w:t>
            </w:r>
            <w:proofErr w:type="spellEnd"/>
            <w:r w:rsidRPr="00256465">
              <w:rPr>
                <w:rFonts w:ascii="Times New Roman" w:hAnsi="Times New Roman" w:cs="Times New Roman"/>
                <w:b/>
              </w:rPr>
              <w:t xml:space="preserve"> Cornelius</w:t>
            </w:r>
          </w:p>
        </w:tc>
        <w:tc>
          <w:tcPr>
            <w:tcW w:w="3443" w:type="dxa"/>
          </w:tcPr>
          <w:p w:rsidR="00BA178E" w:rsidRPr="00053044" w:rsidRDefault="00E15C74" w:rsidP="006F7CB2">
            <w:pPr>
              <w:spacing w:line="360" w:lineRule="auto"/>
              <w:jc w:val="both"/>
              <w:rPr>
                <w:rFonts w:ascii="Times New Roman" w:hAnsi="Times New Roman" w:cs="Times New Roman"/>
              </w:rPr>
            </w:pPr>
            <w:r w:rsidRPr="00053044">
              <w:rPr>
                <w:rFonts w:ascii="Times New Roman" w:hAnsi="Times New Roman" w:cs="Times New Roman"/>
              </w:rPr>
              <w:t xml:space="preserve"> </w:t>
            </w:r>
          </w:p>
        </w:tc>
      </w:tr>
      <w:tr w:rsidR="00BA178E" w:rsidRPr="00053044">
        <w:trPr>
          <w:trHeight w:val="413"/>
        </w:trPr>
        <w:tc>
          <w:tcPr>
            <w:tcW w:w="3062" w:type="dxa"/>
            <w:vAlign w:val="center"/>
          </w:tcPr>
          <w:p w:rsidR="00BA178E" w:rsidRPr="00053044" w:rsidRDefault="00E15C74" w:rsidP="006F7CB2">
            <w:pPr>
              <w:spacing w:line="360" w:lineRule="auto"/>
              <w:jc w:val="both"/>
              <w:rPr>
                <w:rFonts w:ascii="Times New Roman" w:hAnsi="Times New Roman" w:cs="Times New Roman"/>
              </w:rPr>
            </w:pPr>
            <w:r w:rsidRPr="00053044">
              <w:rPr>
                <w:rFonts w:ascii="Times New Roman" w:hAnsi="Times New Roman" w:cs="Times New Roman"/>
              </w:rPr>
              <w:t>Accept</w:t>
            </w:r>
          </w:p>
        </w:tc>
        <w:tc>
          <w:tcPr>
            <w:tcW w:w="3600" w:type="dxa"/>
            <w:vAlign w:val="center"/>
          </w:tcPr>
          <w:p w:rsidR="00BA178E" w:rsidRPr="00053044" w:rsidRDefault="00E15C74" w:rsidP="006F7CB2">
            <w:pPr>
              <w:pStyle w:val="ListParagraph"/>
              <w:numPr>
                <w:ilvl w:val="0"/>
                <w:numId w:val="1"/>
              </w:numPr>
              <w:spacing w:line="360" w:lineRule="auto"/>
              <w:jc w:val="both"/>
              <w:rPr>
                <w:rFonts w:ascii="Times New Roman" w:hAnsi="Times New Roman" w:cs="Times New Roman"/>
                <w:b/>
              </w:rPr>
            </w:pPr>
            <w:r w:rsidRPr="00053044">
              <w:rPr>
                <w:rFonts w:ascii="Times New Roman" w:hAnsi="Times New Roman" w:cs="Times New Roman"/>
                <w:b/>
              </w:rPr>
              <w:t>Minor Revision</w:t>
            </w:r>
          </w:p>
        </w:tc>
        <w:tc>
          <w:tcPr>
            <w:tcW w:w="3443" w:type="dxa"/>
            <w:vAlign w:val="center"/>
          </w:tcPr>
          <w:p w:rsidR="00BA178E" w:rsidRPr="00053044" w:rsidRDefault="00E15C74" w:rsidP="006F7CB2">
            <w:pPr>
              <w:spacing w:line="360" w:lineRule="auto"/>
              <w:jc w:val="both"/>
              <w:rPr>
                <w:rFonts w:ascii="Times New Roman" w:hAnsi="Times New Roman" w:cs="Times New Roman"/>
              </w:rPr>
            </w:pPr>
            <w:r w:rsidRPr="00053044">
              <w:rPr>
                <w:rFonts w:ascii="Times New Roman" w:hAnsi="Times New Roman" w:cs="Times New Roman"/>
              </w:rPr>
              <w:t>Major Revision</w:t>
            </w:r>
          </w:p>
        </w:tc>
      </w:tr>
      <w:tr w:rsidR="00BA178E" w:rsidRPr="00053044">
        <w:trPr>
          <w:trHeight w:val="440"/>
        </w:trPr>
        <w:tc>
          <w:tcPr>
            <w:tcW w:w="3062" w:type="dxa"/>
            <w:vAlign w:val="center"/>
          </w:tcPr>
          <w:p w:rsidR="00BA178E" w:rsidRPr="00053044" w:rsidRDefault="00E15C74" w:rsidP="006F7CB2">
            <w:pPr>
              <w:spacing w:line="360" w:lineRule="auto"/>
              <w:jc w:val="both"/>
              <w:rPr>
                <w:rFonts w:ascii="Times New Roman" w:hAnsi="Times New Roman" w:cs="Times New Roman"/>
              </w:rPr>
            </w:pPr>
            <w:r w:rsidRPr="00053044">
              <w:rPr>
                <w:rFonts w:ascii="Times New Roman" w:hAnsi="Times New Roman" w:cs="Times New Roman"/>
              </w:rPr>
              <w:t>Reject</w:t>
            </w:r>
          </w:p>
        </w:tc>
        <w:tc>
          <w:tcPr>
            <w:tcW w:w="3600" w:type="dxa"/>
            <w:vAlign w:val="center"/>
          </w:tcPr>
          <w:p w:rsidR="00BA178E" w:rsidRPr="00053044" w:rsidRDefault="00E15C74" w:rsidP="006F7CB2">
            <w:pPr>
              <w:spacing w:line="360" w:lineRule="auto"/>
              <w:jc w:val="both"/>
              <w:rPr>
                <w:rFonts w:ascii="Times New Roman" w:hAnsi="Times New Roman" w:cs="Times New Roman"/>
              </w:rPr>
            </w:pPr>
            <w:r w:rsidRPr="00053044">
              <w:rPr>
                <w:rFonts w:ascii="Times New Roman" w:hAnsi="Times New Roman" w:cs="Times New Roman"/>
              </w:rPr>
              <w:t>Re-revision</w:t>
            </w:r>
          </w:p>
        </w:tc>
        <w:tc>
          <w:tcPr>
            <w:tcW w:w="3443" w:type="dxa"/>
            <w:vAlign w:val="center"/>
          </w:tcPr>
          <w:p w:rsidR="00BA178E" w:rsidRPr="00053044" w:rsidRDefault="00E15C74" w:rsidP="006F7CB2">
            <w:pPr>
              <w:spacing w:line="360" w:lineRule="auto"/>
              <w:jc w:val="both"/>
              <w:rPr>
                <w:rFonts w:ascii="Times New Roman" w:hAnsi="Times New Roman" w:cs="Times New Roman"/>
              </w:rPr>
            </w:pPr>
            <w:r w:rsidRPr="00053044">
              <w:rPr>
                <w:rFonts w:ascii="Times New Roman" w:hAnsi="Times New Roman" w:cs="Times New Roman"/>
              </w:rPr>
              <w:t>Poor Quality</w:t>
            </w:r>
          </w:p>
        </w:tc>
      </w:tr>
      <w:tr w:rsidR="00BA178E" w:rsidRPr="00053044">
        <w:trPr>
          <w:trHeight w:val="2240"/>
        </w:trPr>
        <w:tc>
          <w:tcPr>
            <w:tcW w:w="10105" w:type="dxa"/>
            <w:gridSpan w:val="3"/>
          </w:tcPr>
          <w:p w:rsidR="00C614F4" w:rsidRPr="00053044" w:rsidRDefault="00E15C74" w:rsidP="006F7CB2">
            <w:pPr>
              <w:spacing w:line="360" w:lineRule="auto"/>
              <w:jc w:val="both"/>
              <w:rPr>
                <w:rFonts w:ascii="Times New Roman" w:eastAsia="Times New Roman" w:hAnsi="Times New Roman" w:cs="Times New Roman"/>
                <w:b/>
                <w:bCs/>
                <w:shd w:val="clear" w:color="auto" w:fill="FFFFFF"/>
                <w:lang w:val="en-IN" w:eastAsia="en-IN"/>
              </w:rPr>
            </w:pPr>
            <w:r w:rsidRPr="00053044">
              <w:rPr>
                <w:rFonts w:ascii="Times New Roman" w:eastAsia="Times New Roman" w:hAnsi="Times New Roman" w:cs="Times New Roman"/>
                <w:b/>
                <w:bCs/>
                <w:shd w:val="clear" w:color="auto" w:fill="FFFFFF"/>
                <w:lang w:val="en-IN" w:eastAsia="en-IN"/>
              </w:rPr>
              <w:t>Title:</w:t>
            </w:r>
            <w:r w:rsidR="00A81F45" w:rsidRPr="00053044">
              <w:rPr>
                <w:rFonts w:ascii="Times New Roman" w:eastAsia="Times New Roman" w:hAnsi="Times New Roman" w:cs="Times New Roman"/>
                <w:b/>
                <w:bCs/>
                <w:shd w:val="clear" w:color="auto" w:fill="FFFFFF"/>
                <w:lang w:val="en-IN" w:eastAsia="en-IN"/>
              </w:rPr>
              <w:t xml:space="preserve"> </w:t>
            </w:r>
            <w:r w:rsidR="00256465" w:rsidRPr="00256465">
              <w:rPr>
                <w:rFonts w:ascii="Times New Roman" w:eastAsia="Times New Roman" w:hAnsi="Times New Roman" w:cs="Times New Roman"/>
                <w:b/>
                <w:bCs/>
                <w:shd w:val="clear" w:color="auto" w:fill="FFFFFF"/>
                <w:lang w:val="en-IN" w:eastAsia="en-IN"/>
              </w:rPr>
              <w:t>From Infancy to Frailty: Age- and Disease-Linked Modulation of Drug Metabolism</w:t>
            </w:r>
          </w:p>
          <w:p w:rsidR="00256465" w:rsidRDefault="00E15C74" w:rsidP="00256465">
            <w:pPr>
              <w:spacing w:line="360" w:lineRule="auto"/>
              <w:jc w:val="both"/>
              <w:rPr>
                <w:rFonts w:ascii="Times New Roman" w:hAnsi="Times New Roman" w:cs="Times New Roman"/>
              </w:rPr>
            </w:pPr>
            <w:r w:rsidRPr="00053044">
              <w:rPr>
                <w:rFonts w:ascii="Times New Roman" w:eastAsia="Times New Roman" w:hAnsi="Times New Roman" w:cs="Times New Roman"/>
                <w:bCs/>
                <w:shd w:val="clear" w:color="auto" w:fill="FFFFFF"/>
                <w:lang w:val="en-IN" w:eastAsia="en-IN"/>
              </w:rPr>
              <w:t>General Comments from Reviewer</w:t>
            </w:r>
            <w:r w:rsidRPr="00053044">
              <w:rPr>
                <w:rFonts w:ascii="Times New Roman" w:hAnsi="Times New Roman" w:cs="Times New Roman"/>
              </w:rPr>
              <w:t>:</w:t>
            </w:r>
            <w:r w:rsidR="006C39F3" w:rsidRPr="00053044">
              <w:rPr>
                <w:rFonts w:ascii="Times New Roman" w:hAnsi="Times New Roman" w:cs="Times New Roman"/>
              </w:rPr>
              <w:t xml:space="preserve"> </w:t>
            </w:r>
            <w:r w:rsidR="009121B9" w:rsidRPr="00053044">
              <w:rPr>
                <w:rFonts w:ascii="Times New Roman" w:hAnsi="Times New Roman" w:cs="Times New Roman"/>
              </w:rPr>
              <w:t>-</w:t>
            </w:r>
            <w:r w:rsidR="000C4B93" w:rsidRPr="00053044">
              <w:rPr>
                <w:rFonts w:ascii="Times New Roman" w:hAnsi="Times New Roman" w:cs="Times New Roman"/>
              </w:rPr>
              <w:t xml:space="preserve"> </w:t>
            </w:r>
            <w:r w:rsidR="00256465" w:rsidRPr="00256465">
              <w:rPr>
                <w:rFonts w:ascii="Times New Roman" w:hAnsi="Times New Roman" w:cs="Times New Roman"/>
              </w:rPr>
              <w:t>Th</w:t>
            </w:r>
            <w:r w:rsidR="00256465">
              <w:rPr>
                <w:rFonts w:ascii="Times New Roman" w:hAnsi="Times New Roman" w:cs="Times New Roman"/>
              </w:rPr>
              <w:t>e article</w:t>
            </w:r>
            <w:r w:rsidR="00256465" w:rsidRPr="00256465">
              <w:rPr>
                <w:rFonts w:ascii="Times New Roman" w:hAnsi="Times New Roman" w:cs="Times New Roman"/>
              </w:rPr>
              <w:t xml:space="preserve"> comprehensively addresses how drug metabolism varies across different age groups and disease states. It systematically explains the three phases of drug metabolism (modification, conjugation, and excretion) and their modulation in neonates, children, adults, and the elderly. The manuscript also explores how hepatic, renal, cardiovascular, endocrine diseases, nutritional status, and genetic polymorphisms impact pharmacokinetics, reinforcing the need for individualized therapeutic strategies. The writing is well-organized, references are appropriate, and the discussion is scientifically sound.</w:t>
            </w:r>
          </w:p>
          <w:p w:rsidR="00256465" w:rsidRPr="00256465" w:rsidRDefault="00256465" w:rsidP="00256465">
            <w:pPr>
              <w:pStyle w:val="ListParagraph"/>
              <w:numPr>
                <w:ilvl w:val="0"/>
                <w:numId w:val="14"/>
              </w:numPr>
              <w:spacing w:line="360" w:lineRule="auto"/>
              <w:jc w:val="both"/>
              <w:rPr>
                <w:rFonts w:ascii="Times New Roman" w:eastAsia="Times New Roman" w:hAnsi="Times New Roman" w:cs="Times New Roman"/>
                <w:bCs/>
                <w:shd w:val="clear" w:color="auto" w:fill="FFFFFF"/>
                <w:lang w:val="en-IN" w:eastAsia="en-IN"/>
              </w:rPr>
            </w:pPr>
            <w:r w:rsidRPr="00256465">
              <w:rPr>
                <w:rFonts w:ascii="Times New Roman" w:eastAsia="Times New Roman" w:hAnsi="Times New Roman" w:cs="Times New Roman"/>
                <w:bCs/>
                <w:shd w:val="clear" w:color="auto" w:fill="FFFFFF"/>
                <w:lang w:val="en-IN" w:eastAsia="en-IN"/>
              </w:rPr>
              <w:t>Article covers age-specific differences in drug metabolism from infancy to old age and provides detailed insights into the effects of diseases. Demonstrates a strong grasp of pharmacokinetic principles with extensive referencing from peer-reviewed sources.</w:t>
            </w:r>
          </w:p>
          <w:p w:rsidR="00256465" w:rsidRPr="00256465" w:rsidRDefault="00256465" w:rsidP="00256465">
            <w:pPr>
              <w:pStyle w:val="ListParagraph"/>
              <w:numPr>
                <w:ilvl w:val="0"/>
                <w:numId w:val="14"/>
              </w:numPr>
              <w:spacing w:line="360" w:lineRule="auto"/>
              <w:jc w:val="both"/>
              <w:rPr>
                <w:rFonts w:ascii="Times New Roman" w:eastAsia="Times New Roman" w:hAnsi="Times New Roman" w:cs="Times New Roman"/>
                <w:bCs/>
                <w:shd w:val="clear" w:color="auto" w:fill="FFFFFF"/>
                <w:lang w:val="en-IN" w:eastAsia="en-IN"/>
              </w:rPr>
            </w:pPr>
            <w:r w:rsidRPr="00256465">
              <w:rPr>
                <w:rFonts w:ascii="Times New Roman" w:eastAsia="Times New Roman" w:hAnsi="Times New Roman" w:cs="Times New Roman"/>
                <w:bCs/>
                <w:shd w:val="clear" w:color="auto" w:fill="FFFFFF"/>
                <w:lang w:val="en-IN" w:eastAsia="en-IN"/>
              </w:rPr>
              <w:t>Article highlights implications for dosing strategies, adverse drug reactions, and the impact of polypharmacy in elderly and chronically ill patients. Stresses the importance of pharmacogenetics and predictive models, aligning with current trends in precision healthcare.</w:t>
            </w:r>
          </w:p>
          <w:p w:rsidR="00256465" w:rsidRPr="00256465" w:rsidRDefault="00256465" w:rsidP="00256465">
            <w:pPr>
              <w:pStyle w:val="ListParagraph"/>
              <w:numPr>
                <w:ilvl w:val="0"/>
                <w:numId w:val="14"/>
              </w:numPr>
              <w:spacing w:line="360" w:lineRule="auto"/>
              <w:jc w:val="both"/>
              <w:rPr>
                <w:rFonts w:ascii="Times New Roman" w:eastAsia="Times New Roman" w:hAnsi="Times New Roman" w:cs="Times New Roman"/>
                <w:bCs/>
                <w:shd w:val="clear" w:color="auto" w:fill="FFFFFF"/>
                <w:lang w:val="en-IN" w:eastAsia="en-IN"/>
              </w:rPr>
            </w:pPr>
            <w:r w:rsidRPr="00256465">
              <w:rPr>
                <w:rFonts w:ascii="Times New Roman" w:eastAsia="Times New Roman" w:hAnsi="Times New Roman" w:cs="Times New Roman"/>
                <w:bCs/>
                <w:shd w:val="clear" w:color="auto" w:fill="FFFFFF"/>
                <w:lang w:val="en-IN" w:eastAsia="en-IN"/>
              </w:rPr>
              <w:t>Include a visual summary or comparative table summarizing metabolic changes across different age groups and disease conditions.</w:t>
            </w:r>
            <w:r>
              <w:t xml:space="preserve"> </w:t>
            </w:r>
            <w:r w:rsidRPr="00256465">
              <w:rPr>
                <w:rFonts w:ascii="Times New Roman" w:eastAsia="Times New Roman" w:hAnsi="Times New Roman" w:cs="Times New Roman"/>
                <w:bCs/>
                <w:shd w:val="clear" w:color="auto" w:fill="FFFFFF"/>
                <w:lang w:val="en-IN" w:eastAsia="en-IN"/>
              </w:rPr>
              <w:t>This would help readers quickly grasp the key distinctions and implications.</w:t>
            </w:r>
          </w:p>
          <w:p w:rsidR="00256465" w:rsidRPr="00256465" w:rsidRDefault="00256465" w:rsidP="00256465">
            <w:pPr>
              <w:pStyle w:val="ListParagraph"/>
              <w:numPr>
                <w:ilvl w:val="0"/>
                <w:numId w:val="14"/>
              </w:numPr>
              <w:spacing w:line="360" w:lineRule="auto"/>
              <w:jc w:val="both"/>
              <w:rPr>
                <w:rFonts w:ascii="Times New Roman" w:eastAsia="Times New Roman" w:hAnsi="Times New Roman" w:cs="Times New Roman"/>
                <w:bCs/>
                <w:shd w:val="clear" w:color="auto" w:fill="FFFFFF"/>
                <w:lang w:val="en-IN" w:eastAsia="en-IN"/>
              </w:rPr>
            </w:pPr>
            <w:r w:rsidRPr="00256465">
              <w:rPr>
                <w:rFonts w:ascii="Times New Roman" w:eastAsia="Times New Roman" w:hAnsi="Times New Roman" w:cs="Times New Roman"/>
                <w:bCs/>
                <w:shd w:val="clear" w:color="auto" w:fill="FFFFFF"/>
                <w:lang w:val="en-IN" w:eastAsia="en-IN"/>
              </w:rPr>
              <w:t>Expand briefly on clinical examples for Phase III metabolism (e.g., drugs affected by MRP transporters).</w:t>
            </w:r>
            <w:r>
              <w:t xml:space="preserve"> </w:t>
            </w:r>
            <w:r w:rsidRPr="00256465">
              <w:rPr>
                <w:rFonts w:ascii="Times New Roman" w:eastAsia="Times New Roman" w:hAnsi="Times New Roman" w:cs="Times New Roman"/>
                <w:bCs/>
                <w:shd w:val="clear" w:color="auto" w:fill="FFFFFF"/>
                <w:lang w:val="en-IN" w:eastAsia="en-IN"/>
              </w:rPr>
              <w:t>When mentioning biomimetic catalysts, consider briefly stating their role in drug discovery.</w:t>
            </w:r>
          </w:p>
          <w:p w:rsidR="00256465" w:rsidRPr="00256465" w:rsidRDefault="00256465" w:rsidP="00256465">
            <w:pPr>
              <w:pStyle w:val="ListParagraph"/>
              <w:numPr>
                <w:ilvl w:val="0"/>
                <w:numId w:val="14"/>
              </w:numPr>
              <w:spacing w:line="360" w:lineRule="auto"/>
              <w:jc w:val="both"/>
              <w:rPr>
                <w:rFonts w:ascii="Times New Roman" w:eastAsia="Times New Roman" w:hAnsi="Times New Roman" w:cs="Times New Roman"/>
                <w:bCs/>
                <w:shd w:val="clear" w:color="auto" w:fill="FFFFFF"/>
                <w:lang w:val="en-IN" w:eastAsia="en-IN"/>
              </w:rPr>
            </w:pPr>
            <w:r w:rsidRPr="00256465">
              <w:rPr>
                <w:rFonts w:ascii="Times New Roman" w:eastAsia="Times New Roman" w:hAnsi="Times New Roman" w:cs="Times New Roman"/>
                <w:bCs/>
                <w:shd w:val="clear" w:color="auto" w:fill="FFFFFF"/>
                <w:lang w:val="en-IN" w:eastAsia="en-IN"/>
              </w:rPr>
              <w:t>Add a case or brief example illustrating how gut microbiota alters specific drug outcomes.</w:t>
            </w:r>
            <w:r>
              <w:t xml:space="preserve"> </w:t>
            </w:r>
            <w:r w:rsidRPr="00256465">
              <w:rPr>
                <w:rFonts w:ascii="Times New Roman" w:eastAsia="Times New Roman" w:hAnsi="Times New Roman" w:cs="Times New Roman"/>
                <w:bCs/>
                <w:shd w:val="clear" w:color="auto" w:fill="FFFFFF"/>
                <w:lang w:val="en-IN" w:eastAsia="en-IN"/>
              </w:rPr>
              <w:t>or the genetic variation section, include a table or list of common drugs affected by CYP polymorphisms (e.g., codeine, warfarin, tamoxifen).</w:t>
            </w:r>
          </w:p>
          <w:p w:rsidR="00BA178E" w:rsidRPr="00053044" w:rsidRDefault="00E15C74" w:rsidP="00256465">
            <w:pPr>
              <w:spacing w:line="360" w:lineRule="auto"/>
              <w:jc w:val="both"/>
              <w:rPr>
                <w:rFonts w:ascii="Times New Roman" w:hAnsi="Times New Roman" w:cs="Times New Roman"/>
              </w:rPr>
            </w:pPr>
            <w:r w:rsidRPr="00053044">
              <w:rPr>
                <w:rFonts w:ascii="Times New Roman" w:eastAsia="Times New Roman" w:hAnsi="Times New Roman" w:cs="Times New Roman"/>
                <w:bCs/>
                <w:shd w:val="clear" w:color="auto" w:fill="FFFFFF"/>
                <w:lang w:val="en-IN" w:eastAsia="en-IN"/>
              </w:rPr>
              <w:t>The article can be published after m</w:t>
            </w:r>
            <w:r w:rsidR="00DC57B8" w:rsidRPr="00053044">
              <w:rPr>
                <w:rFonts w:ascii="Times New Roman" w:eastAsia="Times New Roman" w:hAnsi="Times New Roman" w:cs="Times New Roman"/>
                <w:bCs/>
                <w:shd w:val="clear" w:color="auto" w:fill="FFFFFF"/>
                <w:lang w:val="en-IN" w:eastAsia="en-IN"/>
              </w:rPr>
              <w:t>in</w:t>
            </w:r>
            <w:r w:rsidR="001477CF" w:rsidRPr="00053044">
              <w:rPr>
                <w:rFonts w:ascii="Times New Roman" w:eastAsia="Times New Roman" w:hAnsi="Times New Roman" w:cs="Times New Roman"/>
                <w:bCs/>
                <w:shd w:val="clear" w:color="auto" w:fill="FFFFFF"/>
                <w:lang w:val="en-IN" w:eastAsia="en-IN"/>
              </w:rPr>
              <w:t>or</w:t>
            </w:r>
            <w:r w:rsidRPr="00053044">
              <w:rPr>
                <w:rFonts w:ascii="Times New Roman" w:eastAsia="Times New Roman" w:hAnsi="Times New Roman" w:cs="Times New Roman"/>
                <w:bCs/>
                <w:shd w:val="clear" w:color="auto" w:fill="FFFFFF"/>
                <w:lang w:val="en-IN" w:eastAsia="en-IN"/>
              </w:rPr>
              <w:t xml:space="preserve"> revision.</w:t>
            </w:r>
          </w:p>
        </w:tc>
      </w:tr>
    </w:tbl>
    <w:p w:rsidR="00BA178E" w:rsidRPr="00053044" w:rsidRDefault="00BA178E" w:rsidP="006F7CB2">
      <w:pPr>
        <w:spacing w:line="360" w:lineRule="auto"/>
        <w:jc w:val="both"/>
        <w:rPr>
          <w:rFonts w:ascii="Times New Roman" w:hAnsi="Times New Roman" w:cs="Times New Roman"/>
        </w:rPr>
      </w:pPr>
    </w:p>
    <w:sectPr w:rsidR="00BA178E" w:rsidRPr="000530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2BFC" w:rsidRDefault="00E02BFC">
      <w:pPr>
        <w:spacing w:line="240" w:lineRule="auto"/>
      </w:pPr>
      <w:r>
        <w:separator/>
      </w:r>
    </w:p>
  </w:endnote>
  <w:endnote w:type="continuationSeparator" w:id="0">
    <w:p w:rsidR="00E02BFC" w:rsidRDefault="00E02B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2BFC" w:rsidRDefault="00E02BFC">
      <w:pPr>
        <w:spacing w:after="0"/>
      </w:pPr>
      <w:r>
        <w:separator/>
      </w:r>
    </w:p>
  </w:footnote>
  <w:footnote w:type="continuationSeparator" w:id="0">
    <w:p w:rsidR="00E02BFC" w:rsidRDefault="00E02BF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CD285F"/>
    <w:multiLevelType w:val="hybridMultilevel"/>
    <w:tmpl w:val="E028F5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57A00E0"/>
    <w:multiLevelType w:val="hybridMultilevel"/>
    <w:tmpl w:val="940ABE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AD70950"/>
    <w:multiLevelType w:val="hybridMultilevel"/>
    <w:tmpl w:val="FD3EFC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36945B7"/>
    <w:multiLevelType w:val="hybridMultilevel"/>
    <w:tmpl w:val="737CC4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61851AA"/>
    <w:multiLevelType w:val="hybridMultilevel"/>
    <w:tmpl w:val="7696CF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9776869"/>
    <w:multiLevelType w:val="hybridMultilevel"/>
    <w:tmpl w:val="9F588D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60612ADB"/>
    <w:multiLevelType w:val="hybridMultilevel"/>
    <w:tmpl w:val="BFBC43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611650EC"/>
    <w:multiLevelType w:val="hybridMultilevel"/>
    <w:tmpl w:val="559231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3592768"/>
    <w:multiLevelType w:val="hybridMultilevel"/>
    <w:tmpl w:val="0C22ED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62F7856"/>
    <w:multiLevelType w:val="hybridMultilevel"/>
    <w:tmpl w:val="9A043A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67601ECB"/>
    <w:multiLevelType w:val="hybridMultilevel"/>
    <w:tmpl w:val="24A8C9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7A63792E"/>
    <w:multiLevelType w:val="hybridMultilevel"/>
    <w:tmpl w:val="7AD235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E5A09E9"/>
    <w:multiLevelType w:val="hybridMultilevel"/>
    <w:tmpl w:val="97BC78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5"/>
  </w:num>
  <w:num w:numId="5">
    <w:abstractNumId w:val="3"/>
  </w:num>
  <w:num w:numId="6">
    <w:abstractNumId w:val="10"/>
  </w:num>
  <w:num w:numId="7">
    <w:abstractNumId w:val="7"/>
  </w:num>
  <w:num w:numId="8">
    <w:abstractNumId w:val="13"/>
  </w:num>
  <w:num w:numId="9">
    <w:abstractNumId w:val="8"/>
  </w:num>
  <w:num w:numId="10">
    <w:abstractNumId w:val="1"/>
  </w:num>
  <w:num w:numId="11">
    <w:abstractNumId w:val="9"/>
  </w:num>
  <w:num w:numId="12">
    <w:abstractNumId w:val="11"/>
  </w:num>
  <w:num w:numId="13">
    <w:abstractNumId w:val="12"/>
  </w:num>
  <w:num w:numId="1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2F23"/>
    <w:rsid w:val="00003D23"/>
    <w:rsid w:val="0000548D"/>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3525"/>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044"/>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6B41"/>
    <w:rsid w:val="000776F5"/>
    <w:rsid w:val="00077C4D"/>
    <w:rsid w:val="000804F7"/>
    <w:rsid w:val="00080E09"/>
    <w:rsid w:val="000817B5"/>
    <w:rsid w:val="00081E85"/>
    <w:rsid w:val="000820CE"/>
    <w:rsid w:val="000825EC"/>
    <w:rsid w:val="00083DE8"/>
    <w:rsid w:val="000844E1"/>
    <w:rsid w:val="00086DA5"/>
    <w:rsid w:val="000901AD"/>
    <w:rsid w:val="000916ED"/>
    <w:rsid w:val="0009380B"/>
    <w:rsid w:val="0009417C"/>
    <w:rsid w:val="00094953"/>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465"/>
    <w:rsid w:val="002565A4"/>
    <w:rsid w:val="00257BA9"/>
    <w:rsid w:val="00261D2F"/>
    <w:rsid w:val="0026227F"/>
    <w:rsid w:val="00263012"/>
    <w:rsid w:val="0026366C"/>
    <w:rsid w:val="002659D2"/>
    <w:rsid w:val="0026661F"/>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474D"/>
    <w:rsid w:val="002B5986"/>
    <w:rsid w:val="002B7028"/>
    <w:rsid w:val="002C0970"/>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133A"/>
    <w:rsid w:val="003229B2"/>
    <w:rsid w:val="00323572"/>
    <w:rsid w:val="00325814"/>
    <w:rsid w:val="00325C41"/>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3E38"/>
    <w:rsid w:val="003C42FF"/>
    <w:rsid w:val="003C520D"/>
    <w:rsid w:val="003C6542"/>
    <w:rsid w:val="003D2BAF"/>
    <w:rsid w:val="003D4DBE"/>
    <w:rsid w:val="003D6D48"/>
    <w:rsid w:val="003E1603"/>
    <w:rsid w:val="003E3470"/>
    <w:rsid w:val="003E35C5"/>
    <w:rsid w:val="003E3E79"/>
    <w:rsid w:val="003E40DF"/>
    <w:rsid w:val="003E63CE"/>
    <w:rsid w:val="003E641A"/>
    <w:rsid w:val="003E65F1"/>
    <w:rsid w:val="003E7DD1"/>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4494"/>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B3536"/>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674"/>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E08"/>
    <w:rsid w:val="00527526"/>
    <w:rsid w:val="00527645"/>
    <w:rsid w:val="00527685"/>
    <w:rsid w:val="005314B0"/>
    <w:rsid w:val="0053152F"/>
    <w:rsid w:val="00532AF9"/>
    <w:rsid w:val="00536703"/>
    <w:rsid w:val="005376EC"/>
    <w:rsid w:val="00540124"/>
    <w:rsid w:val="00540B9B"/>
    <w:rsid w:val="00540E60"/>
    <w:rsid w:val="00541238"/>
    <w:rsid w:val="00545A53"/>
    <w:rsid w:val="00551962"/>
    <w:rsid w:val="005527AD"/>
    <w:rsid w:val="00557E5D"/>
    <w:rsid w:val="00560084"/>
    <w:rsid w:val="00561856"/>
    <w:rsid w:val="005636D6"/>
    <w:rsid w:val="00563B90"/>
    <w:rsid w:val="005648DF"/>
    <w:rsid w:val="00564D7F"/>
    <w:rsid w:val="00564EF3"/>
    <w:rsid w:val="00571DB1"/>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4E3E"/>
    <w:rsid w:val="00595782"/>
    <w:rsid w:val="005963F8"/>
    <w:rsid w:val="005970DA"/>
    <w:rsid w:val="00597148"/>
    <w:rsid w:val="005A1BD0"/>
    <w:rsid w:val="005A310C"/>
    <w:rsid w:val="005A3240"/>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1617"/>
    <w:rsid w:val="005F1A62"/>
    <w:rsid w:val="005F30B9"/>
    <w:rsid w:val="005F3B93"/>
    <w:rsid w:val="005F3BA8"/>
    <w:rsid w:val="00600502"/>
    <w:rsid w:val="006019BB"/>
    <w:rsid w:val="0060372B"/>
    <w:rsid w:val="00603CAD"/>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4C8A"/>
    <w:rsid w:val="006866F8"/>
    <w:rsid w:val="00691914"/>
    <w:rsid w:val="00694802"/>
    <w:rsid w:val="00696F40"/>
    <w:rsid w:val="006A0AC2"/>
    <w:rsid w:val="006A1242"/>
    <w:rsid w:val="006A1E7E"/>
    <w:rsid w:val="006A33DC"/>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39F3"/>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6F7CB2"/>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978D1"/>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21B9"/>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9E2"/>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460C"/>
    <w:rsid w:val="009F51A3"/>
    <w:rsid w:val="009F5BF1"/>
    <w:rsid w:val="009F5DE0"/>
    <w:rsid w:val="009F7051"/>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CAC"/>
    <w:rsid w:val="00A81E04"/>
    <w:rsid w:val="00A81F45"/>
    <w:rsid w:val="00A843C5"/>
    <w:rsid w:val="00A847F1"/>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1239"/>
    <w:rsid w:val="00B47AE6"/>
    <w:rsid w:val="00B51458"/>
    <w:rsid w:val="00B52C96"/>
    <w:rsid w:val="00B54DF5"/>
    <w:rsid w:val="00B5512A"/>
    <w:rsid w:val="00B56416"/>
    <w:rsid w:val="00B57067"/>
    <w:rsid w:val="00B57218"/>
    <w:rsid w:val="00B575D0"/>
    <w:rsid w:val="00B61C12"/>
    <w:rsid w:val="00B61CD0"/>
    <w:rsid w:val="00B6409D"/>
    <w:rsid w:val="00B6477F"/>
    <w:rsid w:val="00B667B9"/>
    <w:rsid w:val="00B6687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BF72AF"/>
    <w:rsid w:val="00C0320B"/>
    <w:rsid w:val="00C069F3"/>
    <w:rsid w:val="00C10651"/>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602F1"/>
    <w:rsid w:val="00C60A17"/>
    <w:rsid w:val="00C614F4"/>
    <w:rsid w:val="00C6152A"/>
    <w:rsid w:val="00C62C22"/>
    <w:rsid w:val="00C63048"/>
    <w:rsid w:val="00C63566"/>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CF7976"/>
    <w:rsid w:val="00D001A3"/>
    <w:rsid w:val="00D009EE"/>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44DF"/>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4B26"/>
    <w:rsid w:val="00D75683"/>
    <w:rsid w:val="00D822D3"/>
    <w:rsid w:val="00D82757"/>
    <w:rsid w:val="00D8301E"/>
    <w:rsid w:val="00D83CAC"/>
    <w:rsid w:val="00D8492D"/>
    <w:rsid w:val="00D84AA4"/>
    <w:rsid w:val="00D8600D"/>
    <w:rsid w:val="00D86F06"/>
    <w:rsid w:val="00D92282"/>
    <w:rsid w:val="00D92A64"/>
    <w:rsid w:val="00D92F11"/>
    <w:rsid w:val="00D940FC"/>
    <w:rsid w:val="00D9547D"/>
    <w:rsid w:val="00DA5EC3"/>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57B8"/>
    <w:rsid w:val="00DC6727"/>
    <w:rsid w:val="00DC6E61"/>
    <w:rsid w:val="00DC7693"/>
    <w:rsid w:val="00DD067A"/>
    <w:rsid w:val="00DD0EC9"/>
    <w:rsid w:val="00DD10E4"/>
    <w:rsid w:val="00DD5175"/>
    <w:rsid w:val="00DD6331"/>
    <w:rsid w:val="00DD6B57"/>
    <w:rsid w:val="00DD6F7C"/>
    <w:rsid w:val="00DD7711"/>
    <w:rsid w:val="00DE00B0"/>
    <w:rsid w:val="00DE0323"/>
    <w:rsid w:val="00DE1583"/>
    <w:rsid w:val="00DE24E6"/>
    <w:rsid w:val="00DE303D"/>
    <w:rsid w:val="00DE356E"/>
    <w:rsid w:val="00DE5488"/>
    <w:rsid w:val="00DE6463"/>
    <w:rsid w:val="00DE676C"/>
    <w:rsid w:val="00DE7459"/>
    <w:rsid w:val="00DF08AC"/>
    <w:rsid w:val="00DF0EBB"/>
    <w:rsid w:val="00DF4FE7"/>
    <w:rsid w:val="00DF5992"/>
    <w:rsid w:val="00DF5E2D"/>
    <w:rsid w:val="00E02BFC"/>
    <w:rsid w:val="00E03262"/>
    <w:rsid w:val="00E04DD0"/>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1911"/>
    <w:rsid w:val="00E542BB"/>
    <w:rsid w:val="00E542EC"/>
    <w:rsid w:val="00E61A1A"/>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74A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1F2"/>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1D83"/>
    <w:rsid w:val="00EC2827"/>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6DFD"/>
    <w:rsid w:val="00F27AFF"/>
    <w:rsid w:val="00F27C8E"/>
    <w:rsid w:val="00F30426"/>
    <w:rsid w:val="00F32957"/>
    <w:rsid w:val="00F34955"/>
    <w:rsid w:val="00F35BA9"/>
    <w:rsid w:val="00F40895"/>
    <w:rsid w:val="00F41946"/>
    <w:rsid w:val="00F41C23"/>
    <w:rsid w:val="00F41DF6"/>
    <w:rsid w:val="00F423C7"/>
    <w:rsid w:val="00F4249B"/>
    <w:rsid w:val="00F4271F"/>
    <w:rsid w:val="00F4278F"/>
    <w:rsid w:val="00F46205"/>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A65AC"/>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6C8E"/>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247C4"/>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4748686">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499085726">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65073778">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1537524">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60974358">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3752411">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74205773">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59729684">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387946004">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61231152">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72877345">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0831704">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507451">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07907991">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70687-9E15-43B7-846C-4A0D1E26E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2025-06-09T06:49:00Z</dcterms:created>
  <dcterms:modified xsi:type="dcterms:W3CDTF">2025-06-09T06:49:00Z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